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президента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Ассоциации «СИБИРСКАЯ ГИЛЬДИЯ АНТИКРИЗИСНЫХ УПРАВЛЯЮЩИХ»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д.2, офис 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</w:t>
      </w:r>
      <w:r>
        <w:rPr>
          <w:rFonts w:ascii="Times New Roman" w:eastAsia="Times New Roman" w:hAnsi="Times New Roman" w:cs="Times New Roman"/>
        </w:rPr>
        <w:t>на прибыль организаций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289, п.4 ст.289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Клейменов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17.06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Клейменов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президента Ассоциации «СИБИРСКАЯ ГИЛЬДИЯ АНТИКРИЗИСНЫХ </w:t>
      </w:r>
      <w:r>
        <w:rPr>
          <w:rFonts w:ascii="Times New Roman" w:eastAsia="Times New Roman" w:hAnsi="Times New Roman" w:cs="Times New Roman"/>
        </w:rPr>
        <w:t>УПРАВЛЯЮЩИХ»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Клейменова Станислава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